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7F" w:rsidRDefault="00DF0E7F" w:rsidP="00D606BA">
      <w:pPr>
        <w:spacing w:after="0" w:line="240" w:lineRule="auto"/>
        <w:jc w:val="center"/>
        <w:rPr>
          <w:rFonts w:cstheme="minorHAnsi"/>
          <w:b/>
          <w:sz w:val="24"/>
          <w:szCs w:val="24"/>
        </w:rPr>
      </w:pPr>
      <w:r>
        <w:rPr>
          <w:rFonts w:cstheme="minorHAnsi"/>
          <w:b/>
          <w:sz w:val="24"/>
          <w:szCs w:val="24"/>
        </w:rPr>
        <w:t>Appendix 3</w:t>
      </w:r>
    </w:p>
    <w:p w:rsidR="008379E6" w:rsidRPr="00E8417F" w:rsidRDefault="009A1677" w:rsidP="00D606BA">
      <w:pPr>
        <w:spacing w:after="0" w:line="240" w:lineRule="auto"/>
        <w:jc w:val="center"/>
        <w:rPr>
          <w:rFonts w:cstheme="minorHAnsi"/>
          <w:b/>
          <w:sz w:val="24"/>
          <w:szCs w:val="24"/>
        </w:rPr>
      </w:pPr>
      <w:r>
        <w:rPr>
          <w:rFonts w:cstheme="minorHAnsi"/>
          <w:b/>
          <w:sz w:val="24"/>
          <w:szCs w:val="24"/>
        </w:rPr>
        <w:t>Resident Safety</w:t>
      </w:r>
      <w:r w:rsidR="00C856E0" w:rsidRPr="00E8417F">
        <w:rPr>
          <w:rFonts w:cstheme="minorHAnsi"/>
          <w:b/>
          <w:sz w:val="24"/>
          <w:szCs w:val="24"/>
        </w:rPr>
        <w:t xml:space="preserve"> Policy</w:t>
      </w:r>
      <w:r w:rsidR="008379E6" w:rsidRPr="00E8417F">
        <w:rPr>
          <w:rFonts w:cstheme="minorHAnsi"/>
          <w:b/>
          <w:sz w:val="24"/>
          <w:szCs w:val="24"/>
        </w:rPr>
        <w:t xml:space="preserve"> – </w:t>
      </w:r>
      <w:r w:rsidR="000728D5">
        <w:rPr>
          <w:rFonts w:cstheme="minorHAnsi"/>
          <w:b/>
          <w:sz w:val="24"/>
          <w:szCs w:val="24"/>
        </w:rPr>
        <w:t>XXX</w:t>
      </w:r>
      <w:r w:rsidR="00C856E0" w:rsidRPr="00E8417F">
        <w:rPr>
          <w:rFonts w:cstheme="minorHAnsi"/>
          <w:b/>
          <w:sz w:val="24"/>
          <w:szCs w:val="24"/>
        </w:rPr>
        <w:t xml:space="preserve"> </w:t>
      </w:r>
      <w:r w:rsidR="005B385E" w:rsidRPr="00E8417F">
        <w:rPr>
          <w:rFonts w:cstheme="minorHAnsi"/>
          <w:b/>
          <w:sz w:val="24"/>
          <w:szCs w:val="24"/>
        </w:rPr>
        <w:t>R</w:t>
      </w:r>
      <w:r w:rsidR="008379E6" w:rsidRPr="00E8417F">
        <w:rPr>
          <w:rFonts w:cstheme="minorHAnsi"/>
          <w:b/>
          <w:sz w:val="24"/>
          <w:szCs w:val="24"/>
        </w:rPr>
        <w:t>esidency Program</w:t>
      </w:r>
    </w:p>
    <w:p w:rsidR="00C856E0" w:rsidRPr="00E8417F" w:rsidRDefault="00D606BA" w:rsidP="00D606BA">
      <w:pPr>
        <w:spacing w:after="0" w:line="240" w:lineRule="auto"/>
        <w:jc w:val="center"/>
        <w:rPr>
          <w:rFonts w:cstheme="minorHAnsi"/>
          <w:b/>
          <w:sz w:val="23"/>
          <w:szCs w:val="23"/>
        </w:rPr>
      </w:pPr>
      <w:r w:rsidRPr="00E8417F">
        <w:rPr>
          <w:rFonts w:cstheme="minorHAnsi"/>
          <w:b/>
          <w:sz w:val="24"/>
          <w:szCs w:val="24"/>
        </w:rPr>
        <w:t xml:space="preserve">University of Manitoba </w:t>
      </w:r>
      <w:r w:rsidR="00C856E0" w:rsidRPr="00E8417F">
        <w:rPr>
          <w:rFonts w:cstheme="minorHAnsi"/>
          <w:b/>
          <w:sz w:val="24"/>
          <w:szCs w:val="24"/>
        </w:rPr>
        <w:t>Max Rady College of Medicine</w:t>
      </w:r>
    </w:p>
    <w:p w:rsidR="005B385E" w:rsidRPr="00E8417F" w:rsidRDefault="005B385E" w:rsidP="00D606BA">
      <w:pPr>
        <w:spacing w:after="0" w:line="240" w:lineRule="auto"/>
        <w:rPr>
          <w:rFonts w:cstheme="minorHAnsi"/>
          <w:b/>
          <w:sz w:val="23"/>
          <w:szCs w:val="23"/>
        </w:rPr>
      </w:pPr>
    </w:p>
    <w:tbl>
      <w:tblPr>
        <w:tblStyle w:val="TableGrid"/>
        <w:tblW w:w="9900" w:type="dxa"/>
        <w:tblInd w:w="108" w:type="dxa"/>
        <w:tblLook w:val="04A0" w:firstRow="1" w:lastRow="0" w:firstColumn="1" w:lastColumn="0" w:noHBand="0" w:noVBand="1"/>
      </w:tblPr>
      <w:tblGrid>
        <w:gridCol w:w="1980"/>
        <w:gridCol w:w="7920"/>
      </w:tblGrid>
      <w:tr w:rsidR="00C856E0" w:rsidRPr="00E8417F" w:rsidTr="00C638C1">
        <w:tc>
          <w:tcPr>
            <w:tcW w:w="9900" w:type="dxa"/>
            <w:gridSpan w:val="2"/>
            <w:tcBorders>
              <w:top w:val="dashSmallGap" w:sz="4" w:space="0" w:color="auto"/>
              <w:left w:val="dashSmallGap" w:sz="4" w:space="0" w:color="auto"/>
              <w:bottom w:val="dashSmallGap" w:sz="4" w:space="0" w:color="auto"/>
              <w:right w:val="dashSmallGap" w:sz="4" w:space="0" w:color="auto"/>
            </w:tcBorders>
          </w:tcPr>
          <w:p w:rsidR="00C856E0" w:rsidRPr="00E8417F" w:rsidRDefault="000728D5" w:rsidP="0016277D">
            <w:pPr>
              <w:rPr>
                <w:rFonts w:cstheme="minorHAnsi"/>
                <w:b/>
                <w:sz w:val="23"/>
                <w:szCs w:val="23"/>
              </w:rPr>
            </w:pPr>
            <w:r>
              <w:rPr>
                <w:rFonts w:cstheme="minorHAnsi"/>
                <w:b/>
                <w:sz w:val="23"/>
                <w:szCs w:val="23"/>
              </w:rPr>
              <w:t>XXX</w:t>
            </w:r>
            <w:r w:rsidR="0016277D">
              <w:rPr>
                <w:rFonts w:cstheme="minorHAnsi"/>
                <w:b/>
                <w:sz w:val="23"/>
                <w:szCs w:val="23"/>
              </w:rPr>
              <w:t xml:space="preserve"> Residency </w:t>
            </w:r>
            <w:r w:rsidR="00C856E0" w:rsidRPr="00E8417F">
              <w:rPr>
                <w:rFonts w:cstheme="minorHAnsi"/>
                <w:b/>
                <w:sz w:val="23"/>
                <w:szCs w:val="23"/>
              </w:rPr>
              <w:t xml:space="preserve">Program Policy </w:t>
            </w:r>
            <w:r w:rsidR="009A1677">
              <w:rPr>
                <w:rFonts w:cstheme="minorHAnsi"/>
                <w:b/>
                <w:sz w:val="23"/>
                <w:szCs w:val="23"/>
              </w:rPr>
              <w:t>on Safety</w:t>
            </w: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Approved (date)</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Review date</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Revised date</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Approved by</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bl>
    <w:p w:rsidR="002C1770" w:rsidRDefault="002C1770" w:rsidP="002C1770">
      <w:pPr>
        <w:widowControl w:val="0"/>
        <w:autoSpaceDE w:val="0"/>
        <w:autoSpaceDN w:val="0"/>
        <w:adjustRightInd w:val="0"/>
        <w:spacing w:after="0" w:line="264" w:lineRule="auto"/>
        <w:rPr>
          <w:rFonts w:cstheme="minorHAnsi"/>
          <w:sz w:val="23"/>
          <w:szCs w:val="23"/>
        </w:rPr>
      </w:pPr>
    </w:p>
    <w:p w:rsidR="009A1677" w:rsidRPr="002C1770" w:rsidRDefault="009A1677" w:rsidP="002C1770">
      <w:pPr>
        <w:widowControl w:val="0"/>
        <w:autoSpaceDE w:val="0"/>
        <w:autoSpaceDN w:val="0"/>
        <w:adjustRightInd w:val="0"/>
        <w:spacing w:after="0" w:line="264" w:lineRule="auto"/>
        <w:rPr>
          <w:rFonts w:cstheme="minorHAnsi"/>
          <w:b/>
          <w:bCs/>
        </w:rPr>
      </w:pPr>
      <w:r w:rsidRPr="002C1770">
        <w:rPr>
          <w:rFonts w:cstheme="minorHAnsi"/>
          <w:b/>
          <w:bCs/>
        </w:rPr>
        <w:t>BACKGROUND</w:t>
      </w:r>
    </w:p>
    <w:p w:rsidR="009A1677" w:rsidRPr="002C1770" w:rsidRDefault="009A1677" w:rsidP="009A1677">
      <w:pPr>
        <w:widowControl w:val="0"/>
        <w:autoSpaceDE w:val="0"/>
        <w:autoSpaceDN w:val="0"/>
        <w:adjustRightInd w:val="0"/>
        <w:spacing w:after="0" w:line="264" w:lineRule="auto"/>
        <w:ind w:left="720"/>
        <w:rPr>
          <w:rFonts w:cstheme="minorHAnsi"/>
          <w:b/>
          <w:bCs/>
        </w:rPr>
      </w:pPr>
      <w:r w:rsidRPr="002C1770">
        <w:rPr>
          <w:rFonts w:cstheme="minorHAnsi"/>
          <w:color w:val="000000"/>
        </w:rPr>
        <w:t xml:space="preserve">The CanERA Standards of Accreditation for Institutions with Residency Programs and the CanERA Standards of Accreditation for Residency Programs requires that the safety and wellness of patients and residents are actively promoted. </w:t>
      </w:r>
      <w:r w:rsidRPr="002C1770">
        <w:rPr>
          <w:rFonts w:cstheme="minorHAnsi"/>
        </w:rPr>
        <w:t>The concept of resident safety includes physical, emotional and professional security. These will be outlined in detail in this document.</w:t>
      </w:r>
      <w:r w:rsidRPr="002C1770">
        <w:rPr>
          <w:rFonts w:cstheme="minorHAnsi"/>
        </w:rPr>
        <w:br/>
      </w:r>
    </w:p>
    <w:p w:rsidR="009A1677" w:rsidRPr="002C1770" w:rsidRDefault="009A1677" w:rsidP="009A1677">
      <w:pPr>
        <w:widowControl w:val="0"/>
        <w:autoSpaceDE w:val="0"/>
        <w:autoSpaceDN w:val="0"/>
        <w:adjustRightInd w:val="0"/>
        <w:spacing w:line="264" w:lineRule="auto"/>
        <w:ind w:left="720"/>
        <w:rPr>
          <w:rFonts w:cstheme="minorHAnsi"/>
        </w:rPr>
      </w:pPr>
      <w:r w:rsidRPr="002C1770">
        <w:rPr>
          <w:rFonts w:cstheme="minorHAnsi"/>
        </w:rPr>
        <w:t xml:space="preserve">The PGME Program has established an overarching </w:t>
      </w:r>
      <w:r w:rsidR="007452B9">
        <w:rPr>
          <w:rFonts w:cstheme="minorHAnsi"/>
          <w:b/>
          <w:bCs/>
          <w:color w:val="000000"/>
        </w:rPr>
        <w:t>PGME</w:t>
      </w:r>
      <w:r w:rsidRPr="002C1770">
        <w:rPr>
          <w:rFonts w:cstheme="minorHAnsi"/>
          <w:b/>
          <w:bCs/>
          <w:color w:val="000000"/>
        </w:rPr>
        <w:t xml:space="preserve"> Resident Safety Policy </w:t>
      </w:r>
      <w:r w:rsidRPr="002C1770">
        <w:rPr>
          <w:rFonts w:cstheme="minorHAnsi"/>
          <w:bCs/>
          <w:color w:val="000000"/>
        </w:rPr>
        <w:t>applicable to</w:t>
      </w:r>
      <w:r w:rsidRPr="002C1770">
        <w:rPr>
          <w:rFonts w:cstheme="minorHAnsi"/>
          <w:b/>
          <w:bCs/>
          <w:color w:val="000000"/>
        </w:rPr>
        <w:t xml:space="preserve"> </w:t>
      </w:r>
      <w:r w:rsidRPr="002C1770">
        <w:rPr>
          <w:rFonts w:cstheme="minorHAnsi"/>
        </w:rPr>
        <w:t xml:space="preserve">all residency programs, </w:t>
      </w:r>
      <w:r w:rsidRPr="002C1770">
        <w:rPr>
          <w:rFonts w:cstheme="minorHAnsi"/>
          <w:bCs/>
        </w:rPr>
        <w:t xml:space="preserve">for reporting and responding to specific safety issues, available on the PGME </w:t>
      </w:r>
      <w:r w:rsidR="009F6E45">
        <w:rPr>
          <w:rFonts w:cstheme="minorHAnsi"/>
          <w:bCs/>
        </w:rPr>
        <w:t>Policies Community in Entrada</w:t>
      </w:r>
      <w:r w:rsidRPr="002C1770">
        <w:rPr>
          <w:rFonts w:cstheme="minorHAnsi"/>
          <w:bCs/>
        </w:rPr>
        <w:t>:</w:t>
      </w:r>
      <w:r w:rsidRPr="002C1770">
        <w:rPr>
          <w:rFonts w:cstheme="minorHAnsi"/>
        </w:rPr>
        <w:t xml:space="preserve"> </w:t>
      </w:r>
      <w:hyperlink r:id="rId8" w:history="1">
        <w:r w:rsidR="009F6E45" w:rsidRPr="00783855">
          <w:rPr>
            <w:rStyle w:val="Hyperlink"/>
            <w:rFonts w:cstheme="minorHAnsi"/>
          </w:rPr>
          <w:t>https://entrada.radyfhs.umanitoba.ca/community/pgmepoliciescommunit</w:t>
        </w:r>
      </w:hyperlink>
      <w:r w:rsidR="009F6E45">
        <w:rPr>
          <w:rFonts w:cstheme="minorHAnsi"/>
        </w:rPr>
        <w:t xml:space="preserve"> </w:t>
      </w:r>
      <w:r w:rsidR="009F6E45" w:rsidRPr="002C1770">
        <w:rPr>
          <w:rFonts w:cstheme="minorHAnsi"/>
        </w:rPr>
        <w:t xml:space="preserve"> </w:t>
      </w:r>
    </w:p>
    <w:p w:rsidR="002C1770" w:rsidRDefault="002C1770" w:rsidP="009A1677">
      <w:pPr>
        <w:widowControl w:val="0"/>
        <w:autoSpaceDE w:val="0"/>
        <w:autoSpaceDN w:val="0"/>
        <w:adjustRightInd w:val="0"/>
        <w:spacing w:line="264" w:lineRule="auto"/>
        <w:ind w:left="360"/>
        <w:rPr>
          <w:rFonts w:cstheme="minorHAnsi"/>
          <w:b/>
          <w:bCs/>
        </w:rPr>
      </w:pPr>
    </w:p>
    <w:p w:rsidR="009A1677" w:rsidRPr="002C1770" w:rsidRDefault="009A1677" w:rsidP="002C1770">
      <w:pPr>
        <w:widowControl w:val="0"/>
        <w:autoSpaceDE w:val="0"/>
        <w:autoSpaceDN w:val="0"/>
        <w:adjustRightInd w:val="0"/>
        <w:spacing w:line="264" w:lineRule="auto"/>
        <w:rPr>
          <w:rFonts w:cstheme="minorHAnsi"/>
          <w:b/>
          <w:bCs/>
        </w:rPr>
      </w:pPr>
      <w:r w:rsidRPr="002C1770">
        <w:rPr>
          <w:rFonts w:cstheme="minorHAnsi"/>
          <w:b/>
          <w:bCs/>
        </w:rPr>
        <w:t>PURPOSES OF THIS POLICY</w:t>
      </w:r>
    </w:p>
    <w:p w:rsidR="009A1677" w:rsidRPr="002C1770" w:rsidRDefault="009A1677" w:rsidP="009A1677">
      <w:pPr>
        <w:widowControl w:val="0"/>
        <w:numPr>
          <w:ilvl w:val="0"/>
          <w:numId w:val="5"/>
        </w:numPr>
        <w:autoSpaceDE w:val="0"/>
        <w:autoSpaceDN w:val="0"/>
        <w:adjustRightInd w:val="0"/>
        <w:spacing w:after="0" w:line="264" w:lineRule="auto"/>
        <w:rPr>
          <w:rFonts w:cstheme="minorHAnsi"/>
          <w:bCs/>
        </w:rPr>
      </w:pPr>
      <w:r w:rsidRPr="002C1770">
        <w:rPr>
          <w:rFonts w:cstheme="minorHAnsi"/>
        </w:rPr>
        <w:t xml:space="preserve">To augment the </w:t>
      </w:r>
      <w:r w:rsidR="007452B9">
        <w:rPr>
          <w:rFonts w:cstheme="minorHAnsi"/>
        </w:rPr>
        <w:t>PGME</w:t>
      </w:r>
      <w:r w:rsidRPr="002C1770">
        <w:rPr>
          <w:rFonts w:cstheme="minorHAnsi"/>
        </w:rPr>
        <w:t xml:space="preserve"> safety policy by identifying specific provisions to address safety concerns related to educational activities undertaken as part of the ______________ residency program.</w:t>
      </w:r>
    </w:p>
    <w:p w:rsidR="009A1677" w:rsidRPr="002C1770" w:rsidRDefault="009A1677" w:rsidP="009A1677">
      <w:pPr>
        <w:widowControl w:val="0"/>
        <w:numPr>
          <w:ilvl w:val="0"/>
          <w:numId w:val="5"/>
        </w:numPr>
        <w:autoSpaceDE w:val="0"/>
        <w:autoSpaceDN w:val="0"/>
        <w:adjustRightInd w:val="0"/>
        <w:spacing w:after="0" w:line="264" w:lineRule="auto"/>
        <w:rPr>
          <w:rFonts w:cstheme="minorHAnsi"/>
          <w:bCs/>
        </w:rPr>
      </w:pPr>
      <w:r w:rsidRPr="002C1770">
        <w:rPr>
          <w:rFonts w:cstheme="minorHAnsi"/>
        </w:rPr>
        <w:t>To describe the mechanisms in place at the program level for addressing, reporting, and/or reducing unsafe events and conditions</w:t>
      </w:r>
    </w:p>
    <w:p w:rsidR="009A1677" w:rsidRPr="002C1770" w:rsidRDefault="009A1677" w:rsidP="009A1677">
      <w:pPr>
        <w:widowControl w:val="0"/>
        <w:numPr>
          <w:ilvl w:val="0"/>
          <w:numId w:val="5"/>
        </w:numPr>
        <w:autoSpaceDE w:val="0"/>
        <w:autoSpaceDN w:val="0"/>
        <w:adjustRightInd w:val="0"/>
        <w:spacing w:after="0" w:line="264" w:lineRule="auto"/>
        <w:rPr>
          <w:rFonts w:cstheme="minorHAnsi"/>
          <w:bCs/>
        </w:rPr>
      </w:pPr>
      <w:r w:rsidRPr="002C1770">
        <w:rPr>
          <w:rFonts w:cstheme="minorHAnsi"/>
        </w:rPr>
        <w:t xml:space="preserve">To establish that residents have the right to use their judgment when deciding if, when, where, and how to engage in clinical and/or educational experiences that they perceive to involve safety risks. </w:t>
      </w:r>
    </w:p>
    <w:p w:rsidR="002C1770" w:rsidRDefault="009A1677" w:rsidP="002C1770">
      <w:pPr>
        <w:widowControl w:val="0"/>
        <w:autoSpaceDE w:val="0"/>
        <w:autoSpaceDN w:val="0"/>
        <w:adjustRightInd w:val="0"/>
        <w:spacing w:line="264" w:lineRule="auto"/>
        <w:rPr>
          <w:rFonts w:cstheme="minorHAnsi"/>
          <w:color w:val="1A1A1B"/>
          <w:sz w:val="23"/>
          <w:szCs w:val="23"/>
        </w:rPr>
      </w:pPr>
      <w:r w:rsidRPr="002C1770">
        <w:rPr>
          <w:rFonts w:cstheme="minorHAnsi"/>
          <w:b/>
          <w:bCs/>
        </w:rPr>
        <w:t xml:space="preserve">SCOPE </w:t>
      </w:r>
      <w:r w:rsidRPr="002C1770">
        <w:rPr>
          <w:rFonts w:cstheme="minorHAnsi"/>
          <w:b/>
          <w:bCs/>
        </w:rPr>
        <w:br/>
      </w:r>
      <w:r w:rsidR="002C1770" w:rsidRPr="00E8417F">
        <w:rPr>
          <w:rFonts w:cstheme="minorHAnsi"/>
          <w:color w:val="1A1A1B"/>
          <w:sz w:val="23"/>
          <w:szCs w:val="23"/>
        </w:rPr>
        <w:t xml:space="preserve">This policy applies to all postgraduate trainees in the </w:t>
      </w:r>
      <w:r w:rsidR="002C1770">
        <w:rPr>
          <w:rFonts w:cstheme="minorHAnsi"/>
          <w:color w:val="1A1A1B"/>
          <w:sz w:val="23"/>
          <w:szCs w:val="23"/>
        </w:rPr>
        <w:t>XXX</w:t>
      </w:r>
      <w:r w:rsidR="002C1770" w:rsidRPr="00E8417F">
        <w:rPr>
          <w:rFonts w:cstheme="minorHAnsi"/>
          <w:color w:val="1A1A1B"/>
          <w:sz w:val="23"/>
          <w:szCs w:val="23"/>
        </w:rPr>
        <w:t xml:space="preserve"> program of the Max Rady College of Medicine for the duration of all activities associated with the performance of their trainee duties.</w:t>
      </w:r>
    </w:p>
    <w:p w:rsidR="002C1770" w:rsidRPr="002C1770" w:rsidRDefault="002C1770" w:rsidP="002C1770">
      <w:pPr>
        <w:widowControl w:val="0"/>
        <w:autoSpaceDE w:val="0"/>
        <w:autoSpaceDN w:val="0"/>
        <w:adjustRightInd w:val="0"/>
        <w:spacing w:line="264" w:lineRule="auto"/>
        <w:rPr>
          <w:rFonts w:cstheme="minorHAnsi"/>
          <w:b/>
          <w:color w:val="1A1A1B"/>
          <w:sz w:val="23"/>
          <w:szCs w:val="23"/>
        </w:rPr>
      </w:pPr>
      <w:r>
        <w:rPr>
          <w:rFonts w:cstheme="minorHAnsi"/>
          <w:b/>
          <w:color w:val="1A1A1B"/>
          <w:sz w:val="23"/>
          <w:szCs w:val="23"/>
        </w:rPr>
        <w:t>KEY ROLES &amp; RESPONSIBILITIES</w:t>
      </w:r>
    </w:p>
    <w:p w:rsidR="002C1770" w:rsidRPr="002C1770" w:rsidRDefault="002C1770" w:rsidP="002C1770">
      <w:pPr>
        <w:pStyle w:val="ListParagraph"/>
        <w:widowControl w:val="0"/>
        <w:numPr>
          <w:ilvl w:val="0"/>
          <w:numId w:val="6"/>
        </w:numPr>
        <w:autoSpaceDE w:val="0"/>
        <w:autoSpaceDN w:val="0"/>
        <w:adjustRightInd w:val="0"/>
        <w:spacing w:line="264" w:lineRule="auto"/>
        <w:rPr>
          <w:rFonts w:cstheme="minorHAnsi"/>
          <w:b/>
          <w:bCs/>
        </w:rPr>
      </w:pPr>
      <w:r w:rsidRPr="002C1770">
        <w:rPr>
          <w:rFonts w:cstheme="minorHAnsi"/>
        </w:rPr>
        <w:t>The University and all affiliated teaching sites as well as ambulatory, outpatient and private practice locales are accountable for the environmental, occupational, and personal health and safety of their employees.</w:t>
      </w:r>
    </w:p>
    <w:p w:rsidR="009A1677" w:rsidRDefault="009A1677" w:rsidP="009A1677">
      <w:pPr>
        <w:widowControl w:val="0"/>
        <w:numPr>
          <w:ilvl w:val="0"/>
          <w:numId w:val="6"/>
        </w:numPr>
        <w:autoSpaceDE w:val="0"/>
        <w:autoSpaceDN w:val="0"/>
        <w:adjustRightInd w:val="0"/>
        <w:spacing w:after="0" w:line="264" w:lineRule="auto"/>
        <w:ind w:left="1134" w:hanging="425"/>
        <w:rPr>
          <w:rFonts w:cstheme="minorHAnsi"/>
        </w:rPr>
      </w:pPr>
      <w:r w:rsidRPr="002C1770">
        <w:rPr>
          <w:rFonts w:cstheme="minorHAnsi"/>
        </w:rPr>
        <w:t xml:space="preserve">Residents must adhere to the relevant health and safety policies and procedures of their current teaching site. </w:t>
      </w:r>
    </w:p>
    <w:p w:rsidR="002C1770" w:rsidRPr="002C1770" w:rsidRDefault="002C1770" w:rsidP="002C1770">
      <w:pPr>
        <w:widowControl w:val="0"/>
        <w:autoSpaceDE w:val="0"/>
        <w:autoSpaceDN w:val="0"/>
        <w:adjustRightInd w:val="0"/>
        <w:spacing w:after="0" w:line="264" w:lineRule="auto"/>
        <w:ind w:left="1134"/>
        <w:rPr>
          <w:rFonts w:cstheme="minorHAnsi"/>
        </w:rPr>
      </w:pPr>
    </w:p>
    <w:p w:rsidR="009A1677" w:rsidRDefault="009A1677" w:rsidP="009A1677">
      <w:pPr>
        <w:widowControl w:val="0"/>
        <w:numPr>
          <w:ilvl w:val="0"/>
          <w:numId w:val="6"/>
        </w:numPr>
        <w:autoSpaceDE w:val="0"/>
        <w:autoSpaceDN w:val="0"/>
        <w:adjustRightInd w:val="0"/>
        <w:spacing w:after="0" w:line="264" w:lineRule="auto"/>
        <w:ind w:left="1134" w:hanging="425"/>
        <w:rPr>
          <w:rFonts w:cstheme="minorHAnsi"/>
        </w:rPr>
      </w:pPr>
      <w:r w:rsidRPr="002C1770">
        <w:rPr>
          <w:rFonts w:cstheme="minorHAnsi"/>
        </w:rPr>
        <w:t xml:space="preserve">All teaching sites must meet the requirements of the PARIM collective agreement. </w:t>
      </w:r>
    </w:p>
    <w:p w:rsidR="002C1770" w:rsidRDefault="002C1770" w:rsidP="002C1770">
      <w:pPr>
        <w:pStyle w:val="ListParagraph"/>
        <w:rPr>
          <w:rFonts w:cstheme="minorHAnsi"/>
        </w:rPr>
      </w:pPr>
    </w:p>
    <w:p w:rsidR="002C1770" w:rsidRDefault="009A1677" w:rsidP="009A1677">
      <w:pPr>
        <w:widowControl w:val="0"/>
        <w:numPr>
          <w:ilvl w:val="0"/>
          <w:numId w:val="6"/>
        </w:numPr>
        <w:autoSpaceDE w:val="0"/>
        <w:autoSpaceDN w:val="0"/>
        <w:adjustRightInd w:val="0"/>
        <w:spacing w:after="0" w:line="264" w:lineRule="auto"/>
        <w:ind w:left="1134" w:hanging="425"/>
        <w:rPr>
          <w:rFonts w:cstheme="minorHAnsi"/>
        </w:rPr>
      </w:pPr>
      <w:r w:rsidRPr="002C1770">
        <w:rPr>
          <w:rFonts w:cstheme="minorHAnsi"/>
        </w:rPr>
        <w:lastRenderedPageBreak/>
        <w:t>The ________________ residency program is responsible for identifying and communicating foreseeable safety risks related to education carried out within the program, educating residents about risk minimization strategies, and for making decisions about educational experiences that take into account, among other things, the educational benefit relative to any safety risk.</w:t>
      </w:r>
    </w:p>
    <w:p w:rsidR="002C1770" w:rsidRDefault="002C1770" w:rsidP="002C1770">
      <w:pPr>
        <w:pStyle w:val="ListParagraph"/>
        <w:rPr>
          <w:rFonts w:cstheme="minorHAnsi"/>
        </w:rPr>
      </w:pPr>
    </w:p>
    <w:p w:rsidR="009A1677" w:rsidRPr="002C1770" w:rsidRDefault="002C1770" w:rsidP="009A1677">
      <w:pPr>
        <w:widowControl w:val="0"/>
        <w:numPr>
          <w:ilvl w:val="0"/>
          <w:numId w:val="6"/>
        </w:numPr>
        <w:autoSpaceDE w:val="0"/>
        <w:autoSpaceDN w:val="0"/>
        <w:adjustRightInd w:val="0"/>
        <w:spacing w:after="0" w:line="264" w:lineRule="auto"/>
        <w:ind w:left="1134" w:hanging="425"/>
        <w:rPr>
          <w:rFonts w:cstheme="minorHAnsi"/>
        </w:rPr>
      </w:pPr>
      <w:r w:rsidRPr="002C1770">
        <w:rPr>
          <w:rFonts w:cstheme="minorHAnsi"/>
          <w:bCs/>
        </w:rPr>
        <w:t>The _________________ residency program formally acknowledges, endorses and agrees to adhere to the FPGME Resident Safety Policy</w:t>
      </w:r>
      <w:r w:rsidR="00E3011B">
        <w:rPr>
          <w:rFonts w:cstheme="minorHAnsi"/>
          <w:bCs/>
        </w:rPr>
        <w:t>.</w:t>
      </w:r>
      <w:r>
        <w:rPr>
          <w:rFonts w:cstheme="minorHAnsi"/>
        </w:rPr>
        <w:br/>
      </w:r>
    </w:p>
    <w:p w:rsidR="009A1677" w:rsidRPr="002C1770" w:rsidRDefault="002C1770" w:rsidP="002C1770">
      <w:pPr>
        <w:widowControl w:val="0"/>
        <w:autoSpaceDE w:val="0"/>
        <w:autoSpaceDN w:val="0"/>
        <w:adjustRightInd w:val="0"/>
        <w:spacing w:line="264" w:lineRule="auto"/>
        <w:ind w:firstLine="360"/>
        <w:rPr>
          <w:rFonts w:cstheme="minorHAnsi"/>
          <w:b/>
          <w:bCs/>
        </w:rPr>
      </w:pPr>
      <w:r>
        <w:rPr>
          <w:rFonts w:cstheme="minorHAnsi"/>
          <w:b/>
          <w:bCs/>
        </w:rPr>
        <w:t>PROCEDURE</w:t>
      </w: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bCs/>
        </w:rPr>
      </w:pPr>
      <w:r w:rsidRPr="002C1770">
        <w:rPr>
          <w:rFonts w:cstheme="minorHAnsi"/>
          <w:bCs/>
        </w:rPr>
        <w:t>Reporting of, and response to, all manner of incidents related to Environmental Health, Occupational Health, and Personal Health and Safety</w:t>
      </w:r>
      <w:r w:rsidRPr="002C1770">
        <w:rPr>
          <w:rFonts w:cstheme="minorHAnsi"/>
        </w:rPr>
        <w:t xml:space="preserve"> will be addressed as outlined in </w:t>
      </w:r>
      <w:r w:rsidR="007452B9">
        <w:rPr>
          <w:rFonts w:cstheme="minorHAnsi"/>
          <w:bCs/>
        </w:rPr>
        <w:t>PGME</w:t>
      </w:r>
      <w:r w:rsidRPr="002C1770">
        <w:rPr>
          <w:rFonts w:cstheme="minorHAnsi"/>
          <w:bCs/>
        </w:rPr>
        <w:t xml:space="preserve"> Resident Safety Policy.</w:t>
      </w:r>
    </w:p>
    <w:p w:rsidR="009A1677" w:rsidRPr="002C1770" w:rsidRDefault="009A1677" w:rsidP="009A1677">
      <w:pPr>
        <w:widowControl w:val="0"/>
        <w:autoSpaceDE w:val="0"/>
        <w:autoSpaceDN w:val="0"/>
        <w:adjustRightInd w:val="0"/>
        <w:spacing w:line="264" w:lineRule="auto"/>
        <w:ind w:left="360"/>
        <w:rPr>
          <w:rFonts w:cstheme="minorHAnsi"/>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bCs/>
        </w:rPr>
      </w:pPr>
      <w:r w:rsidRPr="002C1770">
        <w:rPr>
          <w:rFonts w:cstheme="minorHAnsi"/>
          <w:bCs/>
        </w:rPr>
        <w:t xml:space="preserve">The residency program requires residents to engage in the following specific situations that may pose a safety risk: </w:t>
      </w:r>
      <w:r w:rsidRPr="002C1770">
        <w:rPr>
          <w:rFonts w:cstheme="minorHAnsi"/>
          <w:bCs/>
          <w:i/>
        </w:rPr>
        <w:t>(**select or add as necessary**)</w:t>
      </w:r>
    </w:p>
    <w:p w:rsidR="009A1677" w:rsidRPr="002C1770" w:rsidRDefault="009A1677" w:rsidP="009A1677">
      <w:pPr>
        <w:widowControl w:val="0"/>
        <w:numPr>
          <w:ilvl w:val="1"/>
          <w:numId w:val="8"/>
        </w:numPr>
        <w:autoSpaceDE w:val="0"/>
        <w:autoSpaceDN w:val="0"/>
        <w:adjustRightInd w:val="0"/>
        <w:spacing w:after="0" w:line="264" w:lineRule="auto"/>
        <w:ind w:left="1800"/>
        <w:rPr>
          <w:rFonts w:cstheme="minorHAnsi"/>
          <w:bCs/>
        </w:rPr>
      </w:pPr>
      <w:r w:rsidRPr="002C1770">
        <w:rPr>
          <w:rFonts w:cstheme="minorHAnsi"/>
          <w:bCs/>
        </w:rPr>
        <w:t>house calls</w:t>
      </w:r>
    </w:p>
    <w:p w:rsidR="009A1677" w:rsidRDefault="009A1677" w:rsidP="009A1677">
      <w:pPr>
        <w:widowControl w:val="0"/>
        <w:numPr>
          <w:ilvl w:val="1"/>
          <w:numId w:val="8"/>
        </w:numPr>
        <w:autoSpaceDE w:val="0"/>
        <w:autoSpaceDN w:val="0"/>
        <w:adjustRightInd w:val="0"/>
        <w:spacing w:after="0" w:line="264" w:lineRule="auto"/>
        <w:ind w:left="1800"/>
        <w:rPr>
          <w:rFonts w:cstheme="minorHAnsi"/>
          <w:bCs/>
        </w:rPr>
      </w:pPr>
      <w:r w:rsidRPr="002C1770">
        <w:rPr>
          <w:rFonts w:cstheme="minorHAnsi"/>
          <w:bCs/>
        </w:rPr>
        <w:t>work in isolated or poorly protected environments</w:t>
      </w:r>
    </w:p>
    <w:p w:rsidR="007E32AD" w:rsidRPr="002C1770" w:rsidRDefault="007E32AD" w:rsidP="009A1677">
      <w:pPr>
        <w:widowControl w:val="0"/>
        <w:numPr>
          <w:ilvl w:val="1"/>
          <w:numId w:val="8"/>
        </w:numPr>
        <w:autoSpaceDE w:val="0"/>
        <w:autoSpaceDN w:val="0"/>
        <w:adjustRightInd w:val="0"/>
        <w:spacing w:after="0" w:line="264" w:lineRule="auto"/>
        <w:ind w:left="1800"/>
        <w:rPr>
          <w:rFonts w:cstheme="minorHAnsi"/>
          <w:bCs/>
        </w:rPr>
      </w:pPr>
      <w:r>
        <w:rPr>
          <w:rFonts w:cstheme="minorHAnsi"/>
          <w:bCs/>
        </w:rPr>
        <w:t>after hours consultations</w:t>
      </w:r>
    </w:p>
    <w:p w:rsidR="009A1677" w:rsidRPr="002C1770" w:rsidRDefault="009A1677" w:rsidP="009A1677">
      <w:pPr>
        <w:widowControl w:val="0"/>
        <w:numPr>
          <w:ilvl w:val="1"/>
          <w:numId w:val="8"/>
        </w:numPr>
        <w:autoSpaceDE w:val="0"/>
        <w:autoSpaceDN w:val="0"/>
        <w:adjustRightInd w:val="0"/>
        <w:spacing w:after="0" w:line="264" w:lineRule="auto"/>
        <w:ind w:left="1800"/>
        <w:rPr>
          <w:rFonts w:cstheme="minorHAnsi"/>
          <w:bCs/>
        </w:rPr>
      </w:pPr>
      <w:r w:rsidRPr="002C1770">
        <w:rPr>
          <w:rFonts w:cstheme="minorHAnsi"/>
          <w:bCs/>
        </w:rPr>
        <w:t>exposure to potentially dangerous environments</w:t>
      </w:r>
    </w:p>
    <w:p w:rsidR="009A1677" w:rsidRPr="002C1770" w:rsidRDefault="009A1677" w:rsidP="009A1677">
      <w:pPr>
        <w:widowControl w:val="0"/>
        <w:numPr>
          <w:ilvl w:val="1"/>
          <w:numId w:val="8"/>
        </w:numPr>
        <w:autoSpaceDE w:val="0"/>
        <w:autoSpaceDN w:val="0"/>
        <w:adjustRightInd w:val="0"/>
        <w:spacing w:after="0" w:line="264" w:lineRule="auto"/>
        <w:ind w:left="1800"/>
        <w:rPr>
          <w:rFonts w:cstheme="minorHAnsi"/>
          <w:bCs/>
        </w:rPr>
      </w:pPr>
      <w:r w:rsidRPr="002C1770">
        <w:rPr>
          <w:rFonts w:cstheme="minorHAnsi"/>
          <w:bCs/>
        </w:rPr>
        <w:t>exposure to potentially harmful bodily fluids</w:t>
      </w:r>
    </w:p>
    <w:p w:rsidR="009A1677" w:rsidRPr="002C1770" w:rsidRDefault="009A1677" w:rsidP="009A1677">
      <w:pPr>
        <w:widowControl w:val="0"/>
        <w:numPr>
          <w:ilvl w:val="1"/>
          <w:numId w:val="8"/>
        </w:numPr>
        <w:autoSpaceDE w:val="0"/>
        <w:autoSpaceDN w:val="0"/>
        <w:adjustRightInd w:val="0"/>
        <w:spacing w:after="0" w:line="264" w:lineRule="auto"/>
        <w:ind w:left="1800"/>
        <w:rPr>
          <w:rFonts w:cstheme="minorHAnsi"/>
          <w:bCs/>
        </w:rPr>
      </w:pPr>
      <w:r w:rsidRPr="002C1770">
        <w:rPr>
          <w:rFonts w:cstheme="minorHAnsi"/>
          <w:bCs/>
        </w:rPr>
        <w:t>exposure to environmental hazards</w:t>
      </w:r>
    </w:p>
    <w:p w:rsidR="009A1677" w:rsidRDefault="009A1677" w:rsidP="009A1677">
      <w:pPr>
        <w:widowControl w:val="0"/>
        <w:numPr>
          <w:ilvl w:val="1"/>
          <w:numId w:val="8"/>
        </w:numPr>
        <w:autoSpaceDE w:val="0"/>
        <w:autoSpaceDN w:val="0"/>
        <w:adjustRightInd w:val="0"/>
        <w:spacing w:after="0" w:line="264" w:lineRule="auto"/>
        <w:ind w:left="1800"/>
        <w:rPr>
          <w:rFonts w:cstheme="minorHAnsi"/>
          <w:bCs/>
        </w:rPr>
      </w:pPr>
      <w:r w:rsidRPr="002C1770">
        <w:rPr>
          <w:rFonts w:cstheme="minorHAnsi"/>
          <w:bCs/>
        </w:rPr>
        <w:t>encounters with potentially violent or aggressive patients</w:t>
      </w:r>
    </w:p>
    <w:p w:rsidR="009A1677" w:rsidRPr="002C1770" w:rsidRDefault="009A1677" w:rsidP="009A1677">
      <w:pPr>
        <w:widowControl w:val="0"/>
        <w:numPr>
          <w:ilvl w:val="1"/>
          <w:numId w:val="8"/>
        </w:numPr>
        <w:autoSpaceDE w:val="0"/>
        <w:autoSpaceDN w:val="0"/>
        <w:adjustRightInd w:val="0"/>
        <w:spacing w:after="0" w:line="264" w:lineRule="auto"/>
        <w:ind w:left="1800" w:right="-180"/>
        <w:rPr>
          <w:rFonts w:cstheme="minorHAnsi"/>
          <w:bCs/>
        </w:rPr>
      </w:pPr>
      <w:r w:rsidRPr="002C1770">
        <w:rPr>
          <w:rFonts w:cstheme="minorHAnsi"/>
          <w:bCs/>
        </w:rPr>
        <w:t>exposures to potentially dangerous equipment and/or high risk transportation</w:t>
      </w:r>
    </w:p>
    <w:p w:rsidR="009A1677" w:rsidRPr="002C1770" w:rsidRDefault="009A1677" w:rsidP="009A1677">
      <w:pPr>
        <w:widowControl w:val="0"/>
        <w:autoSpaceDE w:val="0"/>
        <w:autoSpaceDN w:val="0"/>
        <w:adjustRightInd w:val="0"/>
        <w:spacing w:line="264" w:lineRule="auto"/>
        <w:ind w:left="360" w:firstLine="720"/>
        <w:rPr>
          <w:rFonts w:cstheme="minorHAnsi"/>
          <w:bCs/>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bCs/>
        </w:rPr>
      </w:pPr>
      <w:r w:rsidRPr="002C1770">
        <w:rPr>
          <w:rFonts w:cstheme="minorHAnsi"/>
          <w:bCs/>
        </w:rPr>
        <w:t>The program commits to providing residents with a full disclosure of foreseeable p</w:t>
      </w:r>
      <w:r w:rsidR="002C1770">
        <w:rPr>
          <w:rFonts w:cstheme="minorHAnsi"/>
          <w:bCs/>
        </w:rPr>
        <w:t>otential risks associated with such activities listed above</w:t>
      </w:r>
      <w:r w:rsidR="006C5AA7">
        <w:rPr>
          <w:rFonts w:cstheme="minorHAnsi"/>
          <w:bCs/>
        </w:rPr>
        <w:t>.</w:t>
      </w:r>
    </w:p>
    <w:p w:rsidR="009A1677" w:rsidRPr="002C1770" w:rsidRDefault="009A1677" w:rsidP="009A1677">
      <w:pPr>
        <w:autoSpaceDE w:val="0"/>
        <w:autoSpaceDN w:val="0"/>
        <w:adjustRightInd w:val="0"/>
        <w:spacing w:line="264" w:lineRule="auto"/>
        <w:ind w:left="360"/>
        <w:rPr>
          <w:rFonts w:cstheme="minorHAnsi"/>
          <w:bCs/>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bCs/>
        </w:rPr>
      </w:pPr>
      <w:r w:rsidRPr="002C1770">
        <w:rPr>
          <w:rFonts w:cstheme="minorHAnsi"/>
          <w:bCs/>
        </w:rPr>
        <w:t xml:space="preserve">The program will ensure that residents receive education and preparation for activities </w:t>
      </w:r>
      <w:r w:rsidR="002C1770">
        <w:rPr>
          <w:rFonts w:cstheme="minorHAnsi"/>
          <w:bCs/>
        </w:rPr>
        <w:t xml:space="preserve">that may pose a safety risk </w:t>
      </w:r>
      <w:r w:rsidRPr="002C1770">
        <w:rPr>
          <w:rFonts w:cstheme="minorHAnsi"/>
          <w:bCs/>
        </w:rPr>
        <w:t>using best available evidence and practices AND assess residents for appropriate understanding PRIOR TO involvement in these activities.</w:t>
      </w:r>
    </w:p>
    <w:p w:rsidR="009A1677" w:rsidRPr="002C1770" w:rsidRDefault="009A1677" w:rsidP="009A1677">
      <w:pPr>
        <w:widowControl w:val="0"/>
        <w:autoSpaceDE w:val="0"/>
        <w:autoSpaceDN w:val="0"/>
        <w:adjustRightInd w:val="0"/>
        <w:spacing w:line="264" w:lineRule="auto"/>
        <w:ind w:left="720"/>
        <w:rPr>
          <w:rFonts w:cstheme="minorHAnsi"/>
          <w:bCs/>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rPr>
        <w:t>Residents will not be required to see patients alone in any of the above situations if not appropriately supervised.</w:t>
      </w:r>
    </w:p>
    <w:p w:rsidR="009A1677" w:rsidRPr="002C1770" w:rsidRDefault="009A1677" w:rsidP="009A1677">
      <w:pPr>
        <w:widowControl w:val="0"/>
        <w:autoSpaceDE w:val="0"/>
        <w:autoSpaceDN w:val="0"/>
        <w:adjustRightInd w:val="0"/>
        <w:spacing w:line="264" w:lineRule="auto"/>
        <w:ind w:left="720"/>
        <w:rPr>
          <w:rFonts w:cstheme="minorHAnsi"/>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rPr>
        <w:t>Residents must immediately notify their supervisor, clinical administrator, or more senior resident of perceived safety concerns</w:t>
      </w:r>
      <w:r w:rsidR="006C5AA7">
        <w:rPr>
          <w:rFonts w:cstheme="minorHAnsi"/>
        </w:rPr>
        <w:t>.</w:t>
      </w:r>
    </w:p>
    <w:p w:rsidR="009A1677" w:rsidRPr="002C1770" w:rsidRDefault="009A1677" w:rsidP="009A1677">
      <w:pPr>
        <w:widowControl w:val="0"/>
        <w:autoSpaceDE w:val="0"/>
        <w:autoSpaceDN w:val="0"/>
        <w:adjustRightInd w:val="0"/>
        <w:spacing w:line="264" w:lineRule="auto"/>
        <w:ind w:left="360"/>
        <w:rPr>
          <w:rFonts w:cstheme="minorHAnsi"/>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rPr>
        <w:t>Residents involved in safety-related events, or who have safety concerns, are encouraged to contact their Residency Program Director, the Associate Dean, PGME or the Associate Dean, Professionalism.</w:t>
      </w:r>
    </w:p>
    <w:p w:rsidR="009A1677" w:rsidRPr="002C1770" w:rsidRDefault="009A1677" w:rsidP="009A1677">
      <w:pPr>
        <w:widowControl w:val="0"/>
        <w:autoSpaceDE w:val="0"/>
        <w:autoSpaceDN w:val="0"/>
        <w:adjustRightInd w:val="0"/>
        <w:spacing w:line="264" w:lineRule="auto"/>
        <w:ind w:left="360"/>
        <w:rPr>
          <w:rFonts w:cstheme="minorHAnsi"/>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rPr>
        <w:lastRenderedPageBreak/>
        <w:t xml:space="preserve">A resident </w:t>
      </w:r>
      <w:r w:rsidR="006C5AA7">
        <w:rPr>
          <w:rFonts w:cstheme="minorHAnsi"/>
        </w:rPr>
        <w:t>will</w:t>
      </w:r>
      <w:r w:rsidRPr="002C1770">
        <w:rPr>
          <w:rFonts w:cstheme="minorHAnsi"/>
        </w:rPr>
        <w:t xml:space="preserve"> not encounter negative repercussions for decisions they made in good faith related to personal safety concerns.</w:t>
      </w:r>
    </w:p>
    <w:p w:rsidR="009A1677" w:rsidRPr="002C1770" w:rsidRDefault="009A1677" w:rsidP="009A1677">
      <w:pPr>
        <w:widowControl w:val="0"/>
        <w:autoSpaceDE w:val="0"/>
        <w:autoSpaceDN w:val="0"/>
        <w:adjustRightInd w:val="0"/>
        <w:spacing w:line="264" w:lineRule="auto"/>
        <w:ind w:left="360"/>
        <w:rPr>
          <w:rFonts w:cstheme="minorHAnsi"/>
          <w:bCs/>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bCs/>
        </w:rPr>
        <w:t xml:space="preserve">The Residency Program Committee will review all concerns brought forth and take steps to minimize future risk. </w:t>
      </w:r>
    </w:p>
    <w:p w:rsidR="009A1677" w:rsidRPr="002C1770" w:rsidRDefault="009A1677" w:rsidP="009A1677">
      <w:pPr>
        <w:widowControl w:val="0"/>
        <w:autoSpaceDE w:val="0"/>
        <w:autoSpaceDN w:val="0"/>
        <w:adjustRightInd w:val="0"/>
        <w:spacing w:line="264" w:lineRule="auto"/>
        <w:ind w:left="360"/>
        <w:rPr>
          <w:rFonts w:cstheme="minorHAnsi"/>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rPr>
        <w:t xml:space="preserve">At times, a resident may be called upon to respond to an acute situation involving a patient which poses a risk to the </w:t>
      </w:r>
      <w:proofErr w:type="spellStart"/>
      <w:r w:rsidRPr="002C1770">
        <w:rPr>
          <w:rFonts w:cstheme="minorHAnsi"/>
        </w:rPr>
        <w:t>resi</w:t>
      </w:r>
      <w:bookmarkStart w:id="0" w:name="_GoBack"/>
      <w:bookmarkEnd w:id="0"/>
      <w:r w:rsidRPr="002C1770">
        <w:rPr>
          <w:rFonts w:cstheme="minorHAnsi"/>
        </w:rPr>
        <w:t>dent’s</w:t>
      </w:r>
      <w:proofErr w:type="spellEnd"/>
      <w:r w:rsidRPr="002C1770">
        <w:rPr>
          <w:rFonts w:cstheme="minorHAnsi"/>
        </w:rPr>
        <w:t xml:space="preserve"> personal safety and wellbeing. Residents are expected to consider the effect on themselves and the patient when deciding on a course of action. Every effort should be made to consult more experienced health care providers or staff and seek assistance, support or alternative courses of action. Ultimately, residents should use their best judgment when deciding if, when, where, and how to engage in clinical and/or educational experiences. </w:t>
      </w:r>
    </w:p>
    <w:p w:rsidR="009A1677" w:rsidRPr="002C1770" w:rsidRDefault="009A1677" w:rsidP="009A1677">
      <w:pPr>
        <w:autoSpaceDE w:val="0"/>
        <w:autoSpaceDN w:val="0"/>
        <w:adjustRightInd w:val="0"/>
        <w:spacing w:line="264" w:lineRule="auto"/>
        <w:ind w:left="360"/>
        <w:rPr>
          <w:rFonts w:cstheme="minorHAnsi"/>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rPr>
        <w:t xml:space="preserve">Should a resident fail to engage in an experience (or engage in a manner other than what has been requested or previously expected of them) due to perceived safety concerns, the resident will report this to their site supervisor immediately AND to the residency program director at the earliest reasonable time. </w:t>
      </w:r>
    </w:p>
    <w:p w:rsidR="009A1677" w:rsidRPr="002C1770" w:rsidRDefault="009A1677" w:rsidP="009A1677">
      <w:pPr>
        <w:widowControl w:val="0"/>
        <w:autoSpaceDE w:val="0"/>
        <w:autoSpaceDN w:val="0"/>
        <w:adjustRightInd w:val="0"/>
        <w:spacing w:line="264" w:lineRule="auto"/>
        <w:ind w:left="360"/>
        <w:rPr>
          <w:rFonts w:cstheme="minorHAnsi"/>
          <w:bCs/>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bCs/>
        </w:rPr>
        <w:t xml:space="preserve"> Should a resident repeatedly fail to engage in an activity that can be reasonably considered part of their specialty practice, that is a mandated component of the residency training, and for which all means of risk reduction and education have been instituted by the program, the residency program committee will review the circumstances in the context of the general CanMEDS physician competency frameworks.</w:t>
      </w:r>
      <w:r w:rsidRPr="002C1770">
        <w:rPr>
          <w:rFonts w:cstheme="minorHAnsi"/>
          <w:bCs/>
        </w:rPr>
        <w:br/>
      </w: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bCs/>
        </w:rPr>
        <w:t>Disputes of decisions made by the residency program committee will be referred to the Associate Dean, PGME for discussion at the PGME Executive Committee.</w:t>
      </w:r>
    </w:p>
    <w:p w:rsidR="009A1677" w:rsidRPr="002C1770" w:rsidRDefault="009A1677" w:rsidP="009A1677">
      <w:pPr>
        <w:autoSpaceDE w:val="0"/>
        <w:autoSpaceDN w:val="0"/>
        <w:adjustRightInd w:val="0"/>
        <w:spacing w:line="264" w:lineRule="auto"/>
        <w:ind w:left="360"/>
        <w:rPr>
          <w:rFonts w:cstheme="minorHAnsi"/>
        </w:rPr>
      </w:pPr>
    </w:p>
    <w:p w:rsidR="009A1677" w:rsidRPr="002C1770" w:rsidRDefault="009A1677" w:rsidP="009A1677">
      <w:pPr>
        <w:widowControl w:val="0"/>
        <w:numPr>
          <w:ilvl w:val="0"/>
          <w:numId w:val="7"/>
        </w:numPr>
        <w:autoSpaceDE w:val="0"/>
        <w:autoSpaceDN w:val="0"/>
        <w:adjustRightInd w:val="0"/>
        <w:spacing w:after="0" w:line="264" w:lineRule="auto"/>
        <w:ind w:left="1080"/>
        <w:rPr>
          <w:rFonts w:cstheme="minorHAnsi"/>
        </w:rPr>
      </w:pPr>
      <w:r w:rsidRPr="002C1770">
        <w:rPr>
          <w:rFonts w:cstheme="minorHAnsi"/>
        </w:rPr>
        <w:t>Appeals of decisions will follow the usual Max Rady College of Medicine appeal process.</w:t>
      </w:r>
    </w:p>
    <w:p w:rsidR="00A005FA" w:rsidRPr="002C1770" w:rsidRDefault="00A005FA" w:rsidP="009A1677">
      <w:pPr>
        <w:spacing w:after="0" w:line="240" w:lineRule="auto"/>
        <w:rPr>
          <w:rFonts w:cstheme="minorHAnsi"/>
        </w:rPr>
      </w:pPr>
    </w:p>
    <w:sectPr w:rsidR="00A005FA" w:rsidRPr="002C1770" w:rsidSect="00AE14AB">
      <w:headerReference w:type="first" r:id="rId9"/>
      <w:pgSz w:w="12240" w:h="15840" w:code="1"/>
      <w:pgMar w:top="1152" w:right="1152" w:bottom="1152"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27" w:rsidRDefault="009A5427" w:rsidP="00D606BA">
      <w:pPr>
        <w:spacing w:after="0" w:line="240" w:lineRule="auto"/>
      </w:pPr>
      <w:r>
        <w:separator/>
      </w:r>
    </w:p>
  </w:endnote>
  <w:endnote w:type="continuationSeparator" w:id="0">
    <w:p w:rsidR="009A5427" w:rsidRDefault="009A5427" w:rsidP="00D6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Montserrat Medium">
    <w:altName w:val="Montserrat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27" w:rsidRDefault="009A5427" w:rsidP="00D606BA">
      <w:pPr>
        <w:spacing w:after="0" w:line="240" w:lineRule="auto"/>
      </w:pPr>
      <w:r>
        <w:separator/>
      </w:r>
    </w:p>
  </w:footnote>
  <w:footnote w:type="continuationSeparator" w:id="0">
    <w:p w:rsidR="009A5427" w:rsidRDefault="009A5427" w:rsidP="00D6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BA" w:rsidRDefault="00675A79" w:rsidP="00675A79">
    <w:pPr>
      <w:spacing w:after="0" w:line="240" w:lineRule="auto"/>
      <w:jc w:val="center"/>
    </w:pPr>
    <w:r w:rsidRPr="009D05E8">
      <w:rPr>
        <w:noProof/>
      </w:rPr>
      <w:drawing>
        <wp:inline distT="0" distB="0" distL="0" distR="0">
          <wp:extent cx="2247900" cy="624899"/>
          <wp:effectExtent l="0" t="0" r="0" b="3810"/>
          <wp:docPr id="4" name="Picture 4" descr="UMRady-logo_left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MRady-logo_left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213" cy="657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459"/>
    <w:multiLevelType w:val="hybridMultilevel"/>
    <w:tmpl w:val="FF7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28BF"/>
    <w:multiLevelType w:val="hybridMultilevel"/>
    <w:tmpl w:val="15EA33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301C6C94"/>
    <w:multiLevelType w:val="hybridMultilevel"/>
    <w:tmpl w:val="8812B2A0"/>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410D4D82"/>
    <w:multiLevelType w:val="hybridMultilevel"/>
    <w:tmpl w:val="8C5E8F3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53621D31"/>
    <w:multiLevelType w:val="hybridMultilevel"/>
    <w:tmpl w:val="0B367CC0"/>
    <w:lvl w:ilvl="0" w:tplc="0409000F">
      <w:start w:val="1"/>
      <w:numFmt w:val="decimal"/>
      <w:lvlText w:val="%1."/>
      <w:lvlJc w:val="left"/>
      <w:pPr>
        <w:ind w:left="1080" w:hanging="360"/>
      </w:pPr>
      <w:rPr>
        <w:rFonts w:hint="default"/>
        <w:b w:val="0"/>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5" w15:restartNumberingAfterBreak="0">
    <w:nsid w:val="5C334CD6"/>
    <w:multiLevelType w:val="hybridMultilevel"/>
    <w:tmpl w:val="E9C852A8"/>
    <w:lvl w:ilvl="0" w:tplc="1009000F">
      <w:start w:val="1"/>
      <w:numFmt w:val="decimal"/>
      <w:lvlText w:val="%1."/>
      <w:lvlJc w:val="left"/>
      <w:pPr>
        <w:ind w:left="720" w:hanging="360"/>
      </w:pPr>
    </w:lvl>
    <w:lvl w:ilvl="1" w:tplc="6688E712">
      <w:start w:val="2"/>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B5E549F"/>
    <w:multiLevelType w:val="hybridMultilevel"/>
    <w:tmpl w:val="BCB88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F5648"/>
    <w:multiLevelType w:val="hybridMultilevel"/>
    <w:tmpl w:val="B47C8DA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2FC7BF1"/>
    <w:multiLevelType w:val="hybridMultilevel"/>
    <w:tmpl w:val="3138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E0"/>
    <w:rsid w:val="000728D5"/>
    <w:rsid w:val="00074B54"/>
    <w:rsid w:val="000B1E4E"/>
    <w:rsid w:val="00130434"/>
    <w:rsid w:val="001405AF"/>
    <w:rsid w:val="0016277D"/>
    <w:rsid w:val="001851EB"/>
    <w:rsid w:val="002A0CC4"/>
    <w:rsid w:val="002A2001"/>
    <w:rsid w:val="002B6CB2"/>
    <w:rsid w:val="002C1770"/>
    <w:rsid w:val="002E7786"/>
    <w:rsid w:val="00333FB5"/>
    <w:rsid w:val="003A7559"/>
    <w:rsid w:val="00410740"/>
    <w:rsid w:val="00421CE8"/>
    <w:rsid w:val="0043284A"/>
    <w:rsid w:val="00470489"/>
    <w:rsid w:val="00540260"/>
    <w:rsid w:val="005B385E"/>
    <w:rsid w:val="006356BB"/>
    <w:rsid w:val="0067174C"/>
    <w:rsid w:val="00675A79"/>
    <w:rsid w:val="006C5AA7"/>
    <w:rsid w:val="006D2F2A"/>
    <w:rsid w:val="006F3FC1"/>
    <w:rsid w:val="007452B9"/>
    <w:rsid w:val="007B78E4"/>
    <w:rsid w:val="007B7F0C"/>
    <w:rsid w:val="007E32AD"/>
    <w:rsid w:val="008379E6"/>
    <w:rsid w:val="00861095"/>
    <w:rsid w:val="008936A8"/>
    <w:rsid w:val="008A4275"/>
    <w:rsid w:val="009236A2"/>
    <w:rsid w:val="00997125"/>
    <w:rsid w:val="009A1677"/>
    <w:rsid w:val="009A5427"/>
    <w:rsid w:val="009F6E45"/>
    <w:rsid w:val="00A005FA"/>
    <w:rsid w:val="00A56CA6"/>
    <w:rsid w:val="00AE14AB"/>
    <w:rsid w:val="00AF34F0"/>
    <w:rsid w:val="00B63A26"/>
    <w:rsid w:val="00BE219D"/>
    <w:rsid w:val="00BF1A9B"/>
    <w:rsid w:val="00C638C1"/>
    <w:rsid w:val="00C76707"/>
    <w:rsid w:val="00C856E0"/>
    <w:rsid w:val="00CB4E6A"/>
    <w:rsid w:val="00CC0175"/>
    <w:rsid w:val="00CE43A3"/>
    <w:rsid w:val="00D47178"/>
    <w:rsid w:val="00D606BA"/>
    <w:rsid w:val="00D93141"/>
    <w:rsid w:val="00DC043A"/>
    <w:rsid w:val="00DE3E01"/>
    <w:rsid w:val="00DF0E7F"/>
    <w:rsid w:val="00DF3659"/>
    <w:rsid w:val="00E030C6"/>
    <w:rsid w:val="00E3011B"/>
    <w:rsid w:val="00E770C4"/>
    <w:rsid w:val="00E8417F"/>
    <w:rsid w:val="00EC0F1F"/>
    <w:rsid w:val="00EF6DB7"/>
    <w:rsid w:val="00F04C34"/>
    <w:rsid w:val="00F1179E"/>
    <w:rsid w:val="00F72650"/>
    <w:rsid w:val="00FA0B83"/>
    <w:rsid w:val="00FA1F7A"/>
    <w:rsid w:val="00FE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0E746"/>
  <w15:docId w15:val="{B4F94C11-3D54-47ED-8E82-6CFB3FE8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5">
    <w:name w:val="Pa55"/>
    <w:basedOn w:val="Normal"/>
    <w:next w:val="Normal"/>
    <w:uiPriority w:val="99"/>
    <w:rsid w:val="00E770C4"/>
    <w:pPr>
      <w:autoSpaceDE w:val="0"/>
      <w:autoSpaceDN w:val="0"/>
      <w:adjustRightInd w:val="0"/>
      <w:spacing w:after="0" w:line="176" w:lineRule="atLeast"/>
    </w:pPr>
    <w:rPr>
      <w:rFonts w:ascii="Montserrat" w:hAnsi="Montserrat"/>
      <w:sz w:val="24"/>
      <w:szCs w:val="24"/>
    </w:rPr>
  </w:style>
  <w:style w:type="paragraph" w:customStyle="1" w:styleId="Pa53">
    <w:name w:val="Pa53"/>
    <w:basedOn w:val="Normal"/>
    <w:next w:val="Normal"/>
    <w:uiPriority w:val="99"/>
    <w:rsid w:val="00E770C4"/>
    <w:pPr>
      <w:autoSpaceDE w:val="0"/>
      <w:autoSpaceDN w:val="0"/>
      <w:adjustRightInd w:val="0"/>
      <w:spacing w:after="0" w:line="176" w:lineRule="atLeast"/>
    </w:pPr>
    <w:rPr>
      <w:rFonts w:ascii="Montserrat Light" w:hAnsi="Montserrat Light"/>
      <w:sz w:val="24"/>
      <w:szCs w:val="24"/>
    </w:rPr>
  </w:style>
  <w:style w:type="paragraph" w:customStyle="1" w:styleId="Default">
    <w:name w:val="Default"/>
    <w:rsid w:val="00FA1F7A"/>
    <w:pPr>
      <w:autoSpaceDE w:val="0"/>
      <w:autoSpaceDN w:val="0"/>
      <w:adjustRightInd w:val="0"/>
      <w:spacing w:after="0" w:line="240" w:lineRule="auto"/>
    </w:pPr>
    <w:rPr>
      <w:rFonts w:ascii="Montserrat" w:hAnsi="Montserrat" w:cs="Montserrat"/>
      <w:color w:val="000000"/>
      <w:sz w:val="24"/>
      <w:szCs w:val="24"/>
    </w:rPr>
  </w:style>
  <w:style w:type="paragraph" w:customStyle="1" w:styleId="Pa48">
    <w:name w:val="Pa48"/>
    <w:basedOn w:val="Default"/>
    <w:next w:val="Default"/>
    <w:uiPriority w:val="99"/>
    <w:rsid w:val="00FA1F7A"/>
    <w:pPr>
      <w:spacing w:line="176" w:lineRule="atLeast"/>
    </w:pPr>
    <w:rPr>
      <w:rFonts w:cstheme="minorBidi"/>
      <w:color w:val="auto"/>
    </w:rPr>
  </w:style>
  <w:style w:type="paragraph" w:customStyle="1" w:styleId="Pa46">
    <w:name w:val="Pa46"/>
    <w:basedOn w:val="Default"/>
    <w:next w:val="Default"/>
    <w:uiPriority w:val="99"/>
    <w:rsid w:val="00FA1F7A"/>
    <w:pPr>
      <w:spacing w:line="176" w:lineRule="atLeast"/>
    </w:pPr>
    <w:rPr>
      <w:rFonts w:cstheme="minorBidi"/>
      <w:color w:val="auto"/>
    </w:rPr>
  </w:style>
  <w:style w:type="paragraph" w:styleId="ListParagraph">
    <w:name w:val="List Paragraph"/>
    <w:basedOn w:val="Normal"/>
    <w:uiPriority w:val="34"/>
    <w:qFormat/>
    <w:rsid w:val="002B6CB2"/>
    <w:pPr>
      <w:ind w:left="720"/>
      <w:contextualSpacing/>
    </w:pPr>
  </w:style>
  <w:style w:type="paragraph" w:customStyle="1" w:styleId="Pa9">
    <w:name w:val="Pa9"/>
    <w:basedOn w:val="Default"/>
    <w:next w:val="Default"/>
    <w:uiPriority w:val="99"/>
    <w:rsid w:val="00BF1A9B"/>
    <w:pPr>
      <w:spacing w:line="176" w:lineRule="atLeast"/>
    </w:pPr>
    <w:rPr>
      <w:rFonts w:ascii="Montserrat Medium" w:hAnsi="Montserrat Medium" w:cstheme="minorBidi"/>
      <w:color w:val="auto"/>
    </w:rPr>
  </w:style>
  <w:style w:type="paragraph" w:customStyle="1" w:styleId="Pa70">
    <w:name w:val="Pa70"/>
    <w:basedOn w:val="Default"/>
    <w:next w:val="Default"/>
    <w:uiPriority w:val="99"/>
    <w:rsid w:val="00A005FA"/>
    <w:pPr>
      <w:spacing w:line="176" w:lineRule="atLeast"/>
    </w:pPr>
    <w:rPr>
      <w:rFonts w:ascii="Montserrat Light" w:hAnsi="Montserrat Light" w:cstheme="minorBidi"/>
      <w:color w:val="auto"/>
    </w:rPr>
  </w:style>
  <w:style w:type="character" w:customStyle="1" w:styleId="A34">
    <w:name w:val="A34"/>
    <w:uiPriority w:val="99"/>
    <w:rsid w:val="00A005FA"/>
    <w:rPr>
      <w:rFonts w:cs="Montserrat Light"/>
      <w:color w:val="1C364A"/>
      <w:sz w:val="15"/>
      <w:szCs w:val="15"/>
    </w:rPr>
  </w:style>
  <w:style w:type="paragraph" w:customStyle="1" w:styleId="Pa35">
    <w:name w:val="Pa35"/>
    <w:basedOn w:val="Default"/>
    <w:next w:val="Default"/>
    <w:uiPriority w:val="99"/>
    <w:rsid w:val="00A005FA"/>
    <w:pPr>
      <w:spacing w:line="176" w:lineRule="atLeast"/>
    </w:pPr>
    <w:rPr>
      <w:rFonts w:ascii="Montserrat Light" w:hAnsi="Montserrat Light" w:cstheme="minorBidi"/>
      <w:color w:val="auto"/>
    </w:rPr>
  </w:style>
  <w:style w:type="paragraph" w:styleId="Header">
    <w:name w:val="header"/>
    <w:basedOn w:val="Normal"/>
    <w:link w:val="HeaderChar"/>
    <w:uiPriority w:val="99"/>
    <w:unhideWhenUsed/>
    <w:rsid w:val="00D6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6BA"/>
  </w:style>
  <w:style w:type="paragraph" w:styleId="Footer">
    <w:name w:val="footer"/>
    <w:basedOn w:val="Normal"/>
    <w:link w:val="FooterChar"/>
    <w:uiPriority w:val="99"/>
    <w:unhideWhenUsed/>
    <w:rsid w:val="00D6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6BA"/>
  </w:style>
  <w:style w:type="paragraph" w:styleId="BalloonText">
    <w:name w:val="Balloon Text"/>
    <w:basedOn w:val="Normal"/>
    <w:link w:val="BalloonTextChar"/>
    <w:uiPriority w:val="99"/>
    <w:semiHidden/>
    <w:unhideWhenUsed/>
    <w:rsid w:val="00D6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BA"/>
    <w:rPr>
      <w:rFonts w:ascii="Tahoma" w:hAnsi="Tahoma" w:cs="Tahoma"/>
      <w:sz w:val="16"/>
      <w:szCs w:val="16"/>
    </w:rPr>
  </w:style>
  <w:style w:type="character" w:styleId="Hyperlink">
    <w:name w:val="Hyperlink"/>
    <w:uiPriority w:val="99"/>
    <w:unhideWhenUsed/>
    <w:rsid w:val="009A1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ada.radyfhs.umanitoba.ca/community/pgmepoliciescommu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4AA6F-C471-41EB-87C2-669E216E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5191</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
    </vt:vector>
  </TitlesOfParts>
  <Company>Faculty of Health Sciences</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Skakum</dc:creator>
  <cp:lastModifiedBy>Laura Lamont</cp:lastModifiedBy>
  <cp:revision>2</cp:revision>
  <dcterms:created xsi:type="dcterms:W3CDTF">2022-01-25T04:20:00Z</dcterms:created>
  <dcterms:modified xsi:type="dcterms:W3CDTF">2022-01-25T04:20:00Z</dcterms:modified>
</cp:coreProperties>
</file>